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856C0" w:rsidRDefault="00AD2D87" w:rsidP="00D856C0">
      <w:pPr>
        <w:jc w:val="both"/>
        <w:rPr>
          <w:b/>
          <w:sz w:val="16"/>
        </w:rPr>
      </w:pPr>
      <w:r>
        <w:rPr>
          <w:noProof/>
          <w:lang w:eastAsia="nl-NL"/>
        </w:rPr>
        <mc:AlternateContent>
          <mc:Choice Requires="wps">
            <w:drawing>
              <wp:anchor distT="0" distB="0" distL="114300" distR="114300" simplePos="0" relativeHeight="251659264" behindDoc="0" locked="0" layoutInCell="1" allowOverlap="1" wp14:anchorId="568C4B4E" wp14:editId="5F31C547">
                <wp:simplePos x="0" y="0"/>
                <wp:positionH relativeFrom="margin">
                  <wp:align>left</wp:align>
                </wp:positionH>
                <wp:positionV relativeFrom="paragraph">
                  <wp:posOffset>-247650</wp:posOffset>
                </wp:positionV>
                <wp:extent cx="6638925" cy="657225"/>
                <wp:effectExtent l="0" t="0" r="0" b="9525"/>
                <wp:wrapNone/>
                <wp:docPr id="1" name="Tekstvak 1"/>
                <wp:cNvGraphicFramePr/>
                <a:graphic xmlns:a="http://schemas.openxmlformats.org/drawingml/2006/main">
                  <a:graphicData uri="http://schemas.microsoft.com/office/word/2010/wordprocessingShape">
                    <wps:wsp>
                      <wps:cNvSpPr txBox="1"/>
                      <wps:spPr>
                        <a:xfrm>
                          <a:off x="0" y="0"/>
                          <a:ext cx="6638925" cy="657225"/>
                        </a:xfrm>
                        <a:prstGeom prst="rect">
                          <a:avLst/>
                        </a:prstGeom>
                        <a:noFill/>
                        <a:ln>
                          <a:noFill/>
                        </a:ln>
                        <a:effectLst/>
                      </wps:spPr>
                      <wps:txbx>
                        <w:txbxContent>
                          <w:p w:rsidR="00AD2D87" w:rsidRPr="00AD2D87" w:rsidRDefault="00AD2D87" w:rsidP="00AD2D87">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Algemene Voorwaarden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C4B4E" id="_x0000_t202" coordsize="21600,21600" o:spt="202" path="m,l,21600r21600,l21600,xe">
                <v:stroke joinstyle="miter"/>
                <v:path gradientshapeok="t" o:connecttype="rect"/>
              </v:shapetype>
              <v:shape id="Tekstvak 1" o:spid="_x0000_s1026" type="#_x0000_t202" style="position:absolute;left:0;text-align:left;margin-left:0;margin-top:-19.5pt;width:522.75pt;height:5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" filled="f" stroked="f">
                <v:fill o:detectmouseclick="t"/>
                <v:textbox>
                  <w:txbxContent>
                    <w:p w:rsidR="00AD2D87" w:rsidRPr="00AD2D87" w:rsidRDefault="00AD2D87" w:rsidP="00AD2D87">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Algemene Voorwaarden</w:t>
                      </w:r>
                    </w:p>
                  </w:txbxContent>
                </v:textbox>
                <w10:wrap anchorx="margin"/>
              </v:shape>
            </w:pict>
          </mc:Fallback>
        </mc:AlternateContent>
      </w:r>
    </w:p>
    <w:p w:rsidR="00D856C0" w:rsidRDefault="00D856C0" w:rsidP="00D856C0">
      <w:pPr>
        <w:jc w:val="both"/>
        <w:rPr>
          <w:b/>
          <w:sz w:val="16"/>
        </w:rPr>
      </w:pPr>
    </w:p>
    <w:p w:rsidR="00D856C0" w:rsidRDefault="00D856C0" w:rsidP="00D856C0">
      <w:pPr>
        <w:jc w:val="both"/>
        <w:rPr>
          <w:b/>
          <w:sz w:val="16"/>
        </w:rPr>
      </w:pPr>
    </w:p>
    <w:p w:rsidR="00D856C0" w:rsidRDefault="00D856C0" w:rsidP="00D856C0">
      <w:pPr>
        <w:jc w:val="both"/>
        <w:rPr>
          <w:b/>
          <w:sz w:val="16"/>
        </w:rPr>
      </w:pPr>
    </w:p>
    <w:p w:rsidR="001C62C9" w:rsidRPr="0078274C" w:rsidRDefault="001C62C9" w:rsidP="00D856C0">
      <w:pPr>
        <w:jc w:val="both"/>
        <w:rPr>
          <w:rFonts w:ascii="Arial" w:hAnsi="Arial" w:cs="Arial"/>
          <w:sz w:val="20"/>
        </w:rPr>
      </w:pPr>
      <w:r w:rsidRPr="0078274C">
        <w:rPr>
          <w:rFonts w:ascii="Arial" w:hAnsi="Arial" w:cs="Arial"/>
          <w:b/>
          <w:sz w:val="20"/>
        </w:rPr>
        <w:t>ARTIKEL 1</w:t>
      </w:r>
      <w:r w:rsidRPr="0078274C">
        <w:rPr>
          <w:rFonts w:ascii="Arial" w:hAnsi="Arial" w:cs="Arial"/>
          <w:sz w:val="20"/>
        </w:rPr>
        <w:t xml:space="preserve"> - Definities In deze voorwaarden wordt verstaan onder: Consument: natuurlijk persoon, die niet handelt in de uitoefening van beroep of bedrijf. Ondernemer: natuurlijk of rechtspersoon, lid van NOA, die bedrijfsmatig offertes uitbrengt en die stukadoors- en/of afbouw-, vloeren- en/of terrazzo, en/of plafond- en wandmontagewerkzaamheden uitvoert en daartoe te verwerken producten levert. Werk: het totaal van de tussen de consument en de ondernemer overeengekomen werkzaamheden en daarbij door de ondernemer geleverde materialen. NOA: Nederlandse Ondernemersvereniging voor Afbouwbedrijven. </w:t>
      </w:r>
    </w:p>
    <w:p w:rsidR="001C62C9" w:rsidRPr="0078274C" w:rsidRDefault="001C62C9" w:rsidP="00D856C0">
      <w:pPr>
        <w:jc w:val="both"/>
        <w:rPr>
          <w:rFonts w:ascii="Arial" w:hAnsi="Arial" w:cs="Arial"/>
          <w:sz w:val="20"/>
        </w:rPr>
      </w:pPr>
      <w:r w:rsidRPr="0078274C">
        <w:rPr>
          <w:rFonts w:ascii="Arial" w:hAnsi="Arial" w:cs="Arial"/>
          <w:b/>
          <w:sz w:val="20"/>
        </w:rPr>
        <w:t>ARTIKEL 2</w:t>
      </w:r>
      <w:r w:rsidRPr="0078274C">
        <w:rPr>
          <w:rFonts w:ascii="Arial" w:hAnsi="Arial" w:cs="Arial"/>
          <w:sz w:val="20"/>
        </w:rPr>
        <w:t xml:space="preserve"> - Werkingssfeer Deze algemene voorwaarden zijn van toepassing op alle overeenkomsten tussen ondernemer en consument. </w:t>
      </w:r>
    </w:p>
    <w:p w:rsidR="001C62C9" w:rsidRPr="0078274C" w:rsidRDefault="001C62C9" w:rsidP="00D856C0">
      <w:pPr>
        <w:jc w:val="both"/>
        <w:rPr>
          <w:rFonts w:ascii="Arial" w:hAnsi="Arial" w:cs="Arial"/>
          <w:sz w:val="20"/>
        </w:rPr>
      </w:pPr>
      <w:r w:rsidRPr="0078274C">
        <w:rPr>
          <w:rFonts w:ascii="Arial" w:hAnsi="Arial" w:cs="Arial"/>
          <w:b/>
          <w:sz w:val="20"/>
        </w:rPr>
        <w:t>ARTIKEL 3</w:t>
      </w:r>
      <w:r w:rsidRPr="0078274C">
        <w:rPr>
          <w:rFonts w:ascii="Arial" w:hAnsi="Arial" w:cs="Arial"/>
          <w:sz w:val="20"/>
        </w:rPr>
        <w:t xml:space="preserve"> - Aanbod 1. Het aanbod voor werk wordt schriftelijk of elektronisch gedaan, tenzij spoedeisende omstandigheden dit onmogelijk maken. 2. Het aanbod wordt voorzien van een dagtekening en is onherroepelijk gedurende 30 dagen na ontvangst. 3. Het aanbod omvat een omschrijving van de te verrichten werkzaamheden en de te leveren materialen die voldoende gedetailleerd is om een goede beoordeling van het aanbod door de consument mogelijk te maken. 4. Het aanbod vermeldt zo precies mogelijk het tijdstip of tijdvak waarop met het werk kan worden begonnen en bevat een aanduiding van de duur van het werk en een vaste dan wel vermoedelijke datum van oplevering. 5. Het aanbod geeft inzicht in de prijs van de materialen en in de prijsvormingmethode die voor de uit te voeren werkzaamheden zal worden gehanteerd: aanneemsom of regie. a) Bij de prijsvormingsmethode aanneemsom komen partijen een vast bedrag overeen waarvoor de werkzaamheden zullen worden verricht; b) Bij de prijsvormingsmethode regie doet de ondernemer een nauwkeurige opgave van de prijsfactoren (o.a. uurtarief en eenheidsprijzen van de benodigde materialen). De ondernemer geeft op verzoek van de consument een indicatie van de te verwachten uitvoeringskosten door het noemen van een richtprijs, tenzij dat in de gegeven omstandigheden naar het oordeel van de ondernemer in redelijkheid niet mogelijk is. 6. Het aanbod vermeldt de betalingswijze. 7. Het aanbod gaat vergezeld van een exemplaar van deze algemene voorwaarden. </w:t>
      </w:r>
    </w:p>
    <w:p w:rsidR="001C62C9" w:rsidRPr="0078274C" w:rsidRDefault="001C62C9" w:rsidP="00D856C0">
      <w:pPr>
        <w:jc w:val="both"/>
        <w:rPr>
          <w:rFonts w:ascii="Arial" w:hAnsi="Arial" w:cs="Arial"/>
          <w:sz w:val="20"/>
        </w:rPr>
      </w:pPr>
      <w:r w:rsidRPr="0078274C">
        <w:rPr>
          <w:rFonts w:ascii="Arial" w:hAnsi="Arial" w:cs="Arial"/>
          <w:b/>
          <w:sz w:val="20"/>
        </w:rPr>
        <w:t>ARTIKEL 4</w:t>
      </w:r>
      <w:r w:rsidRPr="0078274C">
        <w:rPr>
          <w:rFonts w:ascii="Arial" w:hAnsi="Arial" w:cs="Arial"/>
          <w:sz w:val="20"/>
        </w:rPr>
        <w:t xml:space="preserve"> - Totstandkoming van de overeenkomst De overeenkomst komt tot stand door aanvaarding van het aanbod door de consument, bij voorkeur schriftelijk of elektronisch. </w:t>
      </w:r>
    </w:p>
    <w:p w:rsidR="0078274C" w:rsidRDefault="001C62C9" w:rsidP="00D856C0">
      <w:pPr>
        <w:jc w:val="both"/>
        <w:rPr>
          <w:rFonts w:ascii="Arial" w:hAnsi="Arial" w:cs="Arial"/>
          <w:sz w:val="20"/>
        </w:rPr>
      </w:pPr>
      <w:r w:rsidRPr="0078274C">
        <w:rPr>
          <w:rFonts w:ascii="Arial" w:hAnsi="Arial" w:cs="Arial"/>
          <w:b/>
          <w:sz w:val="20"/>
        </w:rPr>
        <w:t>ARTIKEL 5</w:t>
      </w:r>
      <w:r w:rsidRPr="0078274C">
        <w:rPr>
          <w:rFonts w:ascii="Arial" w:hAnsi="Arial" w:cs="Arial"/>
          <w:sz w:val="20"/>
        </w:rPr>
        <w:t xml:space="preserve"> - Verplichtingen van de ondernemer 1. De ondernemer zal het werk goed, deugdelijk en naar de bepalingen van de overeenkomst uitvoeren. De werkzaamheden worden verricht binnen de normale werktijden, tenzij anders overeengekomen. 2. De ondernemer neemt bij de uitvoering van het werk de daarop van toepassing zijnde voorschriften in acht zoals deze van kracht zijn of zullen zijn ten tijde van de uitvoering van het werk. 3. De ondernemer is verplicht de consument te wijzen op: - onjuistheden in de opgedragen werkzaamheden, waaronder het werken op een ondeugdelijke ondergrond; - onjuistheden in de </w:t>
      </w:r>
    </w:p>
    <w:p w:rsidR="0078274C" w:rsidRDefault="0078274C" w:rsidP="00D856C0">
      <w:pPr>
        <w:jc w:val="both"/>
        <w:rPr>
          <w:rFonts w:ascii="Arial" w:hAnsi="Arial" w:cs="Arial"/>
          <w:sz w:val="20"/>
        </w:rPr>
      </w:pPr>
    </w:p>
    <w:p w:rsidR="0078274C" w:rsidRDefault="0078274C" w:rsidP="00D856C0">
      <w:pPr>
        <w:jc w:val="both"/>
        <w:rPr>
          <w:rFonts w:ascii="Arial" w:hAnsi="Arial" w:cs="Arial"/>
          <w:sz w:val="20"/>
        </w:rPr>
      </w:pPr>
    </w:p>
    <w:p w:rsidR="0078274C" w:rsidRDefault="0078274C" w:rsidP="00D856C0">
      <w:pPr>
        <w:jc w:val="both"/>
        <w:rPr>
          <w:rFonts w:ascii="Arial" w:hAnsi="Arial" w:cs="Arial"/>
          <w:sz w:val="20"/>
        </w:rPr>
      </w:pPr>
    </w:p>
    <w:p w:rsidR="0078274C" w:rsidRDefault="0078274C" w:rsidP="00D856C0">
      <w:pPr>
        <w:jc w:val="both"/>
        <w:rPr>
          <w:rFonts w:ascii="Arial" w:hAnsi="Arial" w:cs="Arial"/>
          <w:sz w:val="20"/>
        </w:rPr>
      </w:pPr>
    </w:p>
    <w:p w:rsidR="0078274C" w:rsidRDefault="0078274C" w:rsidP="00D856C0">
      <w:pPr>
        <w:jc w:val="both"/>
        <w:rPr>
          <w:rFonts w:ascii="Arial" w:hAnsi="Arial" w:cs="Arial"/>
          <w:sz w:val="20"/>
        </w:rPr>
      </w:pPr>
    </w:p>
    <w:p w:rsidR="00D856C0" w:rsidRPr="0078274C" w:rsidRDefault="001C62C9" w:rsidP="00D856C0">
      <w:pPr>
        <w:jc w:val="both"/>
        <w:rPr>
          <w:rFonts w:ascii="Arial" w:hAnsi="Arial" w:cs="Arial"/>
          <w:sz w:val="20"/>
        </w:rPr>
      </w:pPr>
      <w:r w:rsidRPr="0078274C">
        <w:rPr>
          <w:rFonts w:ascii="Arial" w:hAnsi="Arial" w:cs="Arial"/>
          <w:sz w:val="20"/>
        </w:rPr>
        <w:t xml:space="preserve">door de consument verlangde constructies en werkwijzen; gebreken aan de (on)roerende zaak waaraan het werk wordt verricht; - gebreken in of ongeschiktheid van materialen of hulpmiddelen die door de consument ter beschikking zijn gesteld; Eén en ander tenzij de ondernemer deze gebreken of onjuistheden niet kende of redelijkerwijze niet behoorde te kennen. 4. De ondernemer is aansprakelijk voor de schade, tenzij deze hem niet is toe te rekenen. 5. De ondernemer draagt er zorg voor dat het werk wordt verricht door terzake deskundige personen. 6. De ondernemer vrijwaart de consument tegen aanspraken van derden tot vergoeding van schade, voor zover deze door de uitvoering van het werk is toegebracht en te verwijten is aan nalatigheid, onvoorzichtigheid of verkeerde handelingen van de ondernemer zelf dan wel zijn ondergeschikten of andere door hem bij de uitvoering van het werk ingeschakelde hulppersonen. </w:t>
      </w:r>
    </w:p>
    <w:p w:rsidR="00D856C0" w:rsidRPr="0078274C" w:rsidRDefault="001C62C9" w:rsidP="00D856C0">
      <w:pPr>
        <w:jc w:val="both"/>
        <w:rPr>
          <w:rFonts w:ascii="Arial" w:hAnsi="Arial" w:cs="Arial"/>
          <w:sz w:val="20"/>
        </w:rPr>
      </w:pPr>
      <w:r w:rsidRPr="0078274C">
        <w:rPr>
          <w:rFonts w:ascii="Arial" w:hAnsi="Arial" w:cs="Arial"/>
          <w:b/>
          <w:sz w:val="20"/>
        </w:rPr>
        <w:t>ARTIKEL 6</w:t>
      </w:r>
      <w:r w:rsidRPr="0078274C">
        <w:rPr>
          <w:rFonts w:ascii="Arial" w:hAnsi="Arial" w:cs="Arial"/>
          <w:sz w:val="20"/>
        </w:rPr>
        <w:t xml:space="preserve"> - Verplichtingen van de consument 1. De consument stelt de ondernemer in de gelegenheid het werk te verrichten. 2. De consument zorgt er voor dat de ondernemer tijdig kan beschikken over de voor het werk benodigde goedkeuringen (zoals vergunningen e.d.) en de voor het werk te verschaffen gegevens. 3. De consument verschaft de hem ter beschikking staande aansluitingsmogelijkheden ten behoeve van de voor het werk benodigde energie en water. De kosten van elektriciteit, gas en water komen voor zijn rekening. 4. De consument dient er voor te zorgen dat door derden uit te voeren werkzaamheden en/of leveringen die niet tot het werk van de ondernemer behoren zodanig en zo tijdig worden verricht dat de uitvoering van het werk daarvan geen vertraging ondervindt. Indien niettemin vertraging ontstaat, dient de consument de ondernemer daarvan tijdig in kennis te stellen. 5. Indien de aanvang of de voortgang van het werk wordt vertraagd door omstandigheden, als bedoeld in het voorgaande lid, </w:t>
      </w:r>
    </w:p>
    <w:p w:rsidR="001C62C9" w:rsidRPr="0078274C" w:rsidRDefault="001C62C9" w:rsidP="00D856C0">
      <w:pPr>
        <w:jc w:val="both"/>
        <w:rPr>
          <w:rFonts w:ascii="Arial" w:hAnsi="Arial" w:cs="Arial"/>
          <w:sz w:val="20"/>
        </w:rPr>
      </w:pPr>
      <w:r w:rsidRPr="0078274C">
        <w:rPr>
          <w:rFonts w:ascii="Arial" w:hAnsi="Arial" w:cs="Arial"/>
          <w:sz w:val="20"/>
        </w:rPr>
        <w:t xml:space="preserve">dient de consument de daarmee verband houdende schade en kosten aan de ondernemer te vergoeden indien deze omstandigheden hem kunnen worden toegerekend. 6. Indien de consument een beroep doet op de garantiebepalingen van artikel 15 van deze voorwaarden moet de ondernemer voor het kunnen bepalen van mogelijke aansprakelijkheid in de gelegenheid worden gesteld tot het zonodig verrichten van destructief onderzoek op de voor de consument minst bezwarende wijze. 7. De consument dient gebreken aan het werk binnen bekwame tijd nadat hij deze heeft ontdekt of redelijkerwijs had behoren te ontdekken bij voorkeur schriftelijk aan de ondernemer te melden. 8. De consument draagt het risico voor schade veroorzaakt door: - onjuistheden in de opgedragen werkzaamheden; - onjuistheden in de door de consument verlangde constructies en werkwijzen; - gebreken aan de (on)roerende zaak waaraan het werk wordt verricht; - gebreken in materialen of hulpmiddelen die door de consument ter beschikking zijn gesteld. Dit doet niet af aan de plicht van de ondernemer om de consument te waarschuwen op grond van artikel 5 lid 3. </w:t>
      </w:r>
    </w:p>
    <w:p w:rsidR="0078274C" w:rsidRDefault="00144B1C" w:rsidP="00D856C0">
      <w:pPr>
        <w:jc w:val="both"/>
        <w:rPr>
          <w:rFonts w:ascii="Arial" w:hAnsi="Arial" w:cs="Arial"/>
          <w:sz w:val="20"/>
        </w:rPr>
      </w:pPr>
      <w:r w:rsidRPr="0078274C">
        <w:rPr>
          <w:rFonts w:ascii="Arial" w:hAnsi="Arial" w:cs="Arial"/>
          <w:b/>
          <w:sz w:val="20"/>
        </w:rPr>
        <w:t>Artikel 7</w:t>
      </w:r>
      <w:r w:rsidRPr="0078274C">
        <w:rPr>
          <w:rFonts w:ascii="Arial" w:hAnsi="Arial" w:cs="Arial"/>
          <w:sz w:val="20"/>
        </w:rPr>
        <w:t xml:space="preserve"> Bijzondere verplichtingen van u als afnemer m.b.t. voorbereiding ondergronden A. Voor cementgebonden/anhydriet en betonnen ondergronden </w:t>
      </w:r>
    </w:p>
    <w:p w:rsidR="0078274C" w:rsidRDefault="0078274C" w:rsidP="00D856C0">
      <w:pPr>
        <w:jc w:val="both"/>
        <w:rPr>
          <w:rFonts w:ascii="Arial" w:hAnsi="Arial" w:cs="Arial"/>
          <w:sz w:val="20"/>
        </w:rPr>
      </w:pPr>
      <w:r w:rsidRPr="0078274C">
        <w:rPr>
          <w:rFonts w:ascii="Arial" w:hAnsi="Arial" w:cs="Arial"/>
          <w:noProof/>
          <w:sz w:val="28"/>
          <w:lang w:eastAsia="nl-NL"/>
        </w:rPr>
        <w:lastRenderedPageBreak/>
        <mc:AlternateContent>
          <mc:Choice Requires="wps">
            <w:drawing>
              <wp:anchor distT="0" distB="0" distL="114300" distR="114300" simplePos="0" relativeHeight="251661312" behindDoc="0" locked="0" layoutInCell="1" allowOverlap="1" wp14:anchorId="4B4E35C2" wp14:editId="127130D8">
                <wp:simplePos x="0" y="0"/>
                <wp:positionH relativeFrom="margin">
                  <wp:align>left</wp:align>
                </wp:positionH>
                <wp:positionV relativeFrom="paragraph">
                  <wp:posOffset>-180975</wp:posOffset>
                </wp:positionV>
                <wp:extent cx="6638925" cy="676275"/>
                <wp:effectExtent l="0" t="0" r="0" b="9525"/>
                <wp:wrapNone/>
                <wp:docPr id="2" name="Tekstvak 2"/>
                <wp:cNvGraphicFramePr/>
                <a:graphic xmlns:a="http://schemas.openxmlformats.org/drawingml/2006/main">
                  <a:graphicData uri="http://schemas.microsoft.com/office/word/2010/wordprocessingShape">
                    <wps:wsp>
                      <wps:cNvSpPr txBox="1"/>
                      <wps:spPr>
                        <a:xfrm>
                          <a:off x="0" y="0"/>
                          <a:ext cx="6638925" cy="676275"/>
                        </a:xfrm>
                        <a:prstGeom prst="rect">
                          <a:avLst/>
                        </a:prstGeom>
                        <a:noFill/>
                        <a:ln>
                          <a:noFill/>
                        </a:ln>
                        <a:effectLst/>
                      </wps:spPr>
                      <wps:txbx>
                        <w:txbxContent>
                          <w:p w:rsidR="00AD2D87" w:rsidRPr="00AD2D87" w:rsidRDefault="00AD2D87" w:rsidP="00AD2D87">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Algemene Voorwaarden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E35C2" id="Tekstvak 2" o:spid="_x0000_s1027" type="#_x0000_t202" style="position:absolute;left:0;text-align:left;margin-left:0;margin-top:-14.25pt;width:522.75pt;height:53.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" filled="f" stroked="f">
                <v:fill o:detectmouseclick="t"/>
                <v:textbox>
                  <w:txbxContent>
                    <w:p w:rsidR="00AD2D87" w:rsidRPr="00AD2D87" w:rsidRDefault="00AD2D87" w:rsidP="00AD2D87">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Algemene Voorwaarden</w:t>
                      </w:r>
                    </w:p>
                  </w:txbxContent>
                </v:textbox>
                <w10:wrap anchorx="margin"/>
              </v:shape>
            </w:pict>
          </mc:Fallback>
        </mc:AlternateContent>
      </w:r>
    </w:p>
    <w:p w:rsidR="0078274C" w:rsidRDefault="0078274C" w:rsidP="00D856C0">
      <w:pPr>
        <w:jc w:val="both"/>
        <w:rPr>
          <w:rFonts w:ascii="Arial" w:hAnsi="Arial" w:cs="Arial"/>
          <w:sz w:val="20"/>
        </w:rPr>
      </w:pPr>
    </w:p>
    <w:p w:rsidR="0078274C" w:rsidRDefault="0078274C" w:rsidP="00D856C0">
      <w:pPr>
        <w:jc w:val="both"/>
        <w:rPr>
          <w:rFonts w:ascii="Arial" w:hAnsi="Arial" w:cs="Arial"/>
          <w:sz w:val="20"/>
        </w:rPr>
      </w:pPr>
    </w:p>
    <w:p w:rsidR="0078274C" w:rsidRDefault="0078274C" w:rsidP="00D856C0">
      <w:pPr>
        <w:jc w:val="both"/>
        <w:rPr>
          <w:rFonts w:ascii="Arial" w:hAnsi="Arial" w:cs="Arial"/>
          <w:sz w:val="20"/>
        </w:rPr>
      </w:pPr>
    </w:p>
    <w:p w:rsidR="00144B1C" w:rsidRPr="0078274C" w:rsidRDefault="00144B1C" w:rsidP="00D856C0">
      <w:pPr>
        <w:jc w:val="both"/>
        <w:rPr>
          <w:rFonts w:ascii="Arial" w:hAnsi="Arial" w:cs="Arial"/>
          <w:sz w:val="20"/>
        </w:rPr>
      </w:pPr>
      <w:r w:rsidRPr="0078274C">
        <w:rPr>
          <w:rFonts w:ascii="Arial" w:hAnsi="Arial" w:cs="Arial"/>
          <w:sz w:val="20"/>
        </w:rPr>
        <w:t>geldt: 1. dat de vloer minimaal 1,5 week per cm vloerdikte gedroogd heeft. Vochtmeting vindt vooraf door Wijnhoven Vloeren BV met een vochtmeter plaats. Let op dat deze meting door ons slechts kan dienen als extra controle voor u. Het biedt geen garantie tegen het toch voorkomen van restvocht en eventueel daaruit voortvloeiende vochtwerking; 2. waterdichte folie onder de dekvloer om optrekkend vocht te voorkomen. 3.  een vlakke strakke ondergrond van goede kwaliteit voor aanvang van de werkzaamheden. De vloer mag niet zanderig zijn en is bij voorkeur afgepapt. Op de vloer mag geen lijmlaag voorkomen; 4.  het eventueel aanbrengen van afschotten in de ondergrond; 5. het niet voorkomen van gietgallen, stortgaatjes, omegagaatjes, grindnesten, bekistingnaden en dergelijke.</w:t>
      </w:r>
    </w:p>
    <w:p w:rsidR="00144B1C" w:rsidRPr="0078274C" w:rsidRDefault="00144B1C" w:rsidP="00D856C0">
      <w:pPr>
        <w:jc w:val="both"/>
        <w:rPr>
          <w:rFonts w:ascii="Arial" w:hAnsi="Arial" w:cs="Arial"/>
          <w:sz w:val="20"/>
        </w:rPr>
      </w:pPr>
      <w:r w:rsidRPr="0078274C">
        <w:rPr>
          <w:rFonts w:ascii="Arial" w:hAnsi="Arial" w:cs="Arial"/>
          <w:sz w:val="20"/>
        </w:rPr>
        <w:t xml:space="preserve">B. Voor cementgebonden of betonnen ondergronden geldt: 1. een vochtpercentage in de ondergrond bij beton mag niet hoger dan 4%, bij zandcement niet hoger dan 2,5%.  2. zandcement afwerklagen die hechtend zijn en voldoende dicht te zijn aangebracht.  </w:t>
      </w:r>
    </w:p>
    <w:p w:rsidR="00144B1C" w:rsidRPr="0078274C" w:rsidRDefault="00144B1C" w:rsidP="00D856C0">
      <w:pPr>
        <w:jc w:val="both"/>
        <w:rPr>
          <w:rFonts w:ascii="Arial" w:hAnsi="Arial" w:cs="Arial"/>
          <w:sz w:val="20"/>
        </w:rPr>
      </w:pPr>
      <w:r w:rsidRPr="0078274C">
        <w:rPr>
          <w:rFonts w:ascii="Arial" w:hAnsi="Arial" w:cs="Arial"/>
          <w:sz w:val="20"/>
        </w:rPr>
        <w:t xml:space="preserve">C. Voor anhydriet gebonden ondergronden geldt: 1. een vochtpercentage in de ondergrond niet hoger dan 0,5%.  </w:t>
      </w:r>
    </w:p>
    <w:p w:rsidR="00144B1C" w:rsidRPr="0078274C" w:rsidRDefault="00144B1C" w:rsidP="00D856C0">
      <w:pPr>
        <w:jc w:val="both"/>
        <w:rPr>
          <w:rFonts w:ascii="Arial" w:hAnsi="Arial" w:cs="Arial"/>
          <w:sz w:val="20"/>
        </w:rPr>
      </w:pPr>
      <w:r w:rsidRPr="0078274C">
        <w:rPr>
          <w:rFonts w:ascii="Arial" w:hAnsi="Arial" w:cs="Arial"/>
          <w:sz w:val="20"/>
        </w:rPr>
        <w:t xml:space="preserve">D.  Voor houten ondergronden geldt: 1. Dat de ondergrond in zijn geheel wordt afgetimmerd en verlijmd met fermacell 1x28mm; 2. De platen volgens voorschriften in de ruimte zijn geacclimatiseerd alvorens te worden aangebracht. 3. voor de deugdelijke plaatsing van de ondergrond en dat deze is berekend op de belasting van gebruik; 4. Bij applicatie op houten ondergronden (lees ook: underlayment, multiplex, fermacell, parket) is door werking van de ondergrond (bv. als gevolg van verschillen in temperatuur, luchtvochtigheid en/of belasting) een doortekening van de platen of schrootjes in de Vloer mogelijk.   E. Bij andersoortige ondergronden zullen afzonderlijke afspraken worden gemaakt. </w:t>
      </w:r>
    </w:p>
    <w:p w:rsidR="00144B1C" w:rsidRPr="0078274C" w:rsidRDefault="00144B1C" w:rsidP="00D856C0">
      <w:pPr>
        <w:jc w:val="both"/>
        <w:rPr>
          <w:rFonts w:ascii="Arial" w:hAnsi="Arial" w:cs="Arial"/>
          <w:sz w:val="20"/>
        </w:rPr>
      </w:pPr>
      <w:r w:rsidRPr="0078274C">
        <w:rPr>
          <w:rFonts w:ascii="Arial" w:hAnsi="Arial" w:cs="Arial"/>
          <w:sz w:val="20"/>
        </w:rPr>
        <w:t xml:space="preserve">De hierboven opgesomde punten voor de ondergronden zijn essentiëel voor een goede oplevering van uw Vloer. De voorwaarden beïnvloeden in grote mate het kwalitatieve eindresultaat. Houdt u dan wel rekening met meerkosten die wij moeten maken. Meerkosten proberen wij altijd zoveel mogelijk te voorkomen en van te voren met u te bespreken. Dit zal echter niet altijd mogelijk zijn. Houdt u er ook rekening mee dat u als afnemer bij niet-nakoming ook het risico van eventuele gebreken aan de vloer draagt. Is het mogelijk het project uit te stellen om de vloer alsnog aan de eisen te kunnen laten voldoen, dan is de afnemer aansprakelijk voor de daaruitvloeiende schade door capaciteit- en tijdsverlies.  </w:t>
      </w:r>
    </w:p>
    <w:p w:rsidR="0078274C" w:rsidRDefault="00144B1C" w:rsidP="00D856C0">
      <w:pPr>
        <w:jc w:val="both"/>
        <w:rPr>
          <w:rFonts w:ascii="Arial" w:hAnsi="Arial" w:cs="Arial"/>
          <w:sz w:val="20"/>
        </w:rPr>
      </w:pPr>
      <w:r w:rsidRPr="0078274C">
        <w:rPr>
          <w:rFonts w:ascii="Arial" w:hAnsi="Arial" w:cs="Arial"/>
          <w:b/>
          <w:sz w:val="20"/>
        </w:rPr>
        <w:t>Artikel 8</w:t>
      </w:r>
      <w:r w:rsidRPr="0078274C">
        <w:rPr>
          <w:rFonts w:ascii="Arial" w:hAnsi="Arial" w:cs="Arial"/>
          <w:sz w:val="20"/>
        </w:rPr>
        <w:t xml:space="preserve"> Garantie a. Wijnhoven Vloeren BV staat in voor de goede hoedanigheid van het product, waaronder begrepen de geschiktheid voor het doel waarvoor de vloer blijkens de overeenkomst is gelegd. Onder garantie valt ook scheurvorming en vloeistofdichtheid van de Vloer in doucheruimtes, tenzij dit in de overeenkomst uitdrukkelijk is uitgesloten. Op de vloeren verleent Wijnhoven Vloeren BV een garantie voor de periode van 5 jaar, afbouwend. De garantieperiode gaat in na oplevering van het werk en nadat de afnemer volledig aan zijn betalingsverplichtingen naar Wijnhoven Vloeren BV </w:t>
      </w:r>
    </w:p>
    <w:p w:rsidR="0078274C" w:rsidRDefault="0078274C" w:rsidP="00D856C0">
      <w:pPr>
        <w:jc w:val="both"/>
        <w:rPr>
          <w:rFonts w:ascii="Arial" w:hAnsi="Arial" w:cs="Arial"/>
          <w:sz w:val="20"/>
        </w:rPr>
      </w:pPr>
    </w:p>
    <w:p w:rsidR="0078274C" w:rsidRDefault="0078274C" w:rsidP="00D856C0">
      <w:pPr>
        <w:jc w:val="both"/>
        <w:rPr>
          <w:rFonts w:ascii="Arial" w:hAnsi="Arial" w:cs="Arial"/>
          <w:sz w:val="20"/>
        </w:rPr>
      </w:pPr>
    </w:p>
    <w:p w:rsidR="0078274C" w:rsidRDefault="0078274C" w:rsidP="00D856C0">
      <w:pPr>
        <w:jc w:val="both"/>
        <w:rPr>
          <w:rFonts w:ascii="Arial" w:hAnsi="Arial" w:cs="Arial"/>
          <w:sz w:val="20"/>
        </w:rPr>
      </w:pPr>
    </w:p>
    <w:p w:rsidR="0078274C" w:rsidRDefault="0078274C" w:rsidP="00D856C0">
      <w:pPr>
        <w:jc w:val="both"/>
        <w:rPr>
          <w:rFonts w:ascii="Arial" w:hAnsi="Arial" w:cs="Arial"/>
          <w:sz w:val="20"/>
        </w:rPr>
      </w:pPr>
    </w:p>
    <w:p w:rsidR="00144B1C" w:rsidRPr="0078274C" w:rsidRDefault="00144B1C" w:rsidP="00D856C0">
      <w:pPr>
        <w:jc w:val="both"/>
        <w:rPr>
          <w:rFonts w:ascii="Arial" w:hAnsi="Arial" w:cs="Arial"/>
          <w:sz w:val="20"/>
        </w:rPr>
      </w:pPr>
      <w:r w:rsidRPr="0078274C">
        <w:rPr>
          <w:rFonts w:ascii="Arial" w:hAnsi="Arial" w:cs="Arial"/>
          <w:sz w:val="20"/>
        </w:rPr>
        <w:t xml:space="preserve">heeft voldaan.  b. Niet onder garantie valt: scheurvorming door verzakking, vochtwerking in de ondergrond en osmose, (mechanische) beschadigingen, verkleuringen, lichte spaanslagen of aanzetten c.q. rolbanen in de topcoat, adervorming door werking van de ondervloer en ingevallen vuil in de natte vloer.  c.  Valt uw klacht binnen de garantievoorwaarden, zullen wij de vloer herstellen of vervangen. Bij uitvoering van garantiewerkzaamheden is het van belang dat de afnemer de adviezen en instructies van Wijnhoven Vloeren BV opvolgt. </w:t>
      </w:r>
    </w:p>
    <w:p w:rsidR="00144B1C" w:rsidRPr="0078274C" w:rsidRDefault="00144B1C" w:rsidP="00D856C0">
      <w:pPr>
        <w:jc w:val="both"/>
        <w:rPr>
          <w:rFonts w:ascii="Arial" w:hAnsi="Arial" w:cs="Arial"/>
          <w:sz w:val="20"/>
        </w:rPr>
      </w:pPr>
      <w:r w:rsidRPr="0078274C">
        <w:rPr>
          <w:rFonts w:ascii="Arial" w:hAnsi="Arial" w:cs="Arial"/>
          <w:b/>
          <w:sz w:val="20"/>
        </w:rPr>
        <w:t>Artikel 9</w:t>
      </w:r>
      <w:r w:rsidRPr="0078274C">
        <w:rPr>
          <w:rFonts w:ascii="Arial" w:hAnsi="Arial" w:cs="Arial"/>
          <w:sz w:val="20"/>
        </w:rPr>
        <w:t xml:space="preserve"> Gebreken a. Zijn er gebreken, dient u deze binnen 72 uur na oplevering schriftelijk aan Wijnhoven Vloeren BV mede te delen om gebruik te kunnen maken van de garanties. Het betreft de gebreken die u zonder nader onderzoek in redelijkheid had kunnen of moeten constateren. b. Geringe afwijkingen in maat, kleur, structuur en andere geconstateerde kleine gebreken zijn geen reden tot afkeuring. </w:t>
      </w:r>
    </w:p>
    <w:p w:rsidR="001C62C9" w:rsidRPr="0078274C" w:rsidRDefault="00144B1C" w:rsidP="00D856C0">
      <w:pPr>
        <w:jc w:val="both"/>
        <w:rPr>
          <w:rFonts w:ascii="Arial" w:hAnsi="Arial" w:cs="Arial"/>
          <w:sz w:val="20"/>
        </w:rPr>
      </w:pPr>
      <w:r w:rsidRPr="0078274C">
        <w:rPr>
          <w:rFonts w:ascii="Arial" w:hAnsi="Arial" w:cs="Arial"/>
          <w:b/>
          <w:sz w:val="20"/>
        </w:rPr>
        <w:t>ARTIKEL 10</w:t>
      </w:r>
      <w:r w:rsidR="001C62C9" w:rsidRPr="0078274C">
        <w:rPr>
          <w:rFonts w:ascii="Arial" w:hAnsi="Arial" w:cs="Arial"/>
          <w:sz w:val="20"/>
        </w:rPr>
        <w:t xml:space="preserve"> - Overmacht 1. Wordt de uitvoering van het werk voor één der partijen tijdelijk onmogelijk, dan is de wederpartij voor die periode van zijn verplichtingen ontheven. 2. Wordt de uitvoering van het werk voor één der partijen blijvend onmogelijk door een oorzaak die hem niet kan worden toegerekend, dan is de wederpartij gerechtigd de uitvoering van het werk te (doen) beëindigen tegen vergoeding aan de andere partij van de in redelijkheid gemaakte kosten. </w:t>
      </w:r>
    </w:p>
    <w:p w:rsidR="001C62C9" w:rsidRPr="0078274C" w:rsidRDefault="00144B1C" w:rsidP="00D856C0">
      <w:pPr>
        <w:jc w:val="both"/>
        <w:rPr>
          <w:rFonts w:ascii="Arial" w:hAnsi="Arial" w:cs="Arial"/>
          <w:sz w:val="20"/>
        </w:rPr>
      </w:pPr>
      <w:r w:rsidRPr="0078274C">
        <w:rPr>
          <w:rFonts w:ascii="Arial" w:hAnsi="Arial" w:cs="Arial"/>
          <w:b/>
          <w:sz w:val="20"/>
        </w:rPr>
        <w:t>ARTIKEL 11</w:t>
      </w:r>
      <w:r w:rsidR="001C62C9" w:rsidRPr="0078274C">
        <w:rPr>
          <w:rFonts w:ascii="Arial" w:hAnsi="Arial" w:cs="Arial"/>
          <w:sz w:val="20"/>
        </w:rPr>
        <w:t xml:space="preserve"> - Niet-tijdige betaling 1. De consument dient het verschuldigde bedrag te betalen vóór het verstrijken van de betalingsdatum. Doet de consument dat niet, dan zendt de ondernemer na het verstrijken van die datum een betalingsherinnering en geeft de consument de gelegenheid binnen veertien dagen na ontvangst van deze betalingsherinnering het openstaande bedrag alsnog te betalen. 2. Als na het verstrijken van de betalingsherinnering nog steeds niet is betaald, is de ondernemer gerechtigd rente in rekening te brengen vanaf het moment van verzuim. Deze rente is gelijk aan de wettelijke rente. 3. Door de ondernemer te maken buitengerechtelijke kosten om betaling van een schuld af te dwingen, kunnen aan de consument in rekening worden gebracht. De hoogte van deze buitengerechtelijke incassokosten is onderworpen aan wettelijke grenzen. Daarvan kan in het voordeel van de consument worden afgeweken. 4. Indien de consument met de betaling van een termijn als bedoeld in artikel 10 in gebreke blijft, is de ondernemer gerechtigd het werk stil te leggen, mits hij de consument schriftelijk of elektronisch heeft gesommeerd tot betaling over te gaan. Het in de vorige zin bepaalde laat het recht van de ondernemer op vergoeding van kosten, schade en rente onverlet. 5. De ondernemer blijft eigenaar van nog niet verwerkte materialen, totdat de consument aan zijn betalingsverplichting heeft voldaan. 6. Indien de ondernemer een aan de consument verschuldigde betaling of schadevergoeding niet tijdig betaalt, is hij in verzuim. Indien de ondernemer na daartoe door de consument te zijn gemaand niet alsnog binnen 10 dagen betaalt, is de consument gerechtigd te handelen overeenkomstig de leden 2 en 3 van dit artikel. </w:t>
      </w:r>
    </w:p>
    <w:p w:rsidR="0078274C" w:rsidRDefault="0078274C" w:rsidP="00D856C0">
      <w:pPr>
        <w:jc w:val="both"/>
        <w:rPr>
          <w:rFonts w:ascii="Arial" w:hAnsi="Arial" w:cs="Arial"/>
          <w:b/>
          <w:sz w:val="20"/>
        </w:rPr>
      </w:pPr>
      <w:r w:rsidRPr="0078274C">
        <w:rPr>
          <w:rFonts w:ascii="Arial" w:hAnsi="Arial" w:cs="Arial"/>
          <w:noProof/>
          <w:sz w:val="28"/>
          <w:lang w:eastAsia="nl-NL"/>
        </w:rPr>
        <w:lastRenderedPageBreak/>
        <mc:AlternateContent>
          <mc:Choice Requires="wps">
            <w:drawing>
              <wp:anchor distT="0" distB="0" distL="114300" distR="114300" simplePos="0" relativeHeight="251663360" behindDoc="0" locked="0" layoutInCell="1" allowOverlap="1" wp14:anchorId="6D36BF1C" wp14:editId="684E8257">
                <wp:simplePos x="0" y="0"/>
                <wp:positionH relativeFrom="margin">
                  <wp:align>left</wp:align>
                </wp:positionH>
                <wp:positionV relativeFrom="paragraph">
                  <wp:posOffset>1</wp:posOffset>
                </wp:positionV>
                <wp:extent cx="6638925" cy="638175"/>
                <wp:effectExtent l="0" t="0" r="0" b="9525"/>
                <wp:wrapNone/>
                <wp:docPr id="3" name="Tekstvak 3"/>
                <wp:cNvGraphicFramePr/>
                <a:graphic xmlns:a="http://schemas.openxmlformats.org/drawingml/2006/main">
                  <a:graphicData uri="http://schemas.microsoft.com/office/word/2010/wordprocessingShape">
                    <wps:wsp>
                      <wps:cNvSpPr txBox="1"/>
                      <wps:spPr>
                        <a:xfrm>
                          <a:off x="0" y="0"/>
                          <a:ext cx="6638925" cy="638175"/>
                        </a:xfrm>
                        <a:prstGeom prst="rect">
                          <a:avLst/>
                        </a:prstGeom>
                        <a:noFill/>
                        <a:ln>
                          <a:noFill/>
                        </a:ln>
                        <a:effectLst/>
                      </wps:spPr>
                      <wps:txbx>
                        <w:txbxContent>
                          <w:p w:rsidR="0078274C" w:rsidRPr="00AD2D87" w:rsidRDefault="0078274C" w:rsidP="0078274C">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Algemene Voorwaarden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6BF1C" id="Tekstvak 3" o:spid="_x0000_s1028" type="#_x0000_t202" style="position:absolute;left:0;text-align:left;margin-left:0;margin-top:0;width:522.75pt;height:50.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" filled="f" stroked="f">
                <v:fill o:detectmouseclick="t"/>
                <v:textbox>
                  <w:txbxContent>
                    <w:p w:rsidR="0078274C" w:rsidRPr="00AD2D87" w:rsidRDefault="0078274C" w:rsidP="0078274C">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Algemene Voorwaarden</w:t>
                      </w:r>
                    </w:p>
                  </w:txbxContent>
                </v:textbox>
                <w10:wrap anchorx="margin"/>
              </v:shape>
            </w:pict>
          </mc:Fallback>
        </mc:AlternateContent>
      </w:r>
    </w:p>
    <w:p w:rsidR="0078274C" w:rsidRDefault="0078274C" w:rsidP="00D856C0">
      <w:pPr>
        <w:jc w:val="both"/>
        <w:rPr>
          <w:rFonts w:ascii="Arial" w:hAnsi="Arial" w:cs="Arial"/>
          <w:b/>
          <w:sz w:val="20"/>
        </w:rPr>
      </w:pPr>
    </w:p>
    <w:p w:rsidR="0078274C" w:rsidRDefault="0078274C" w:rsidP="00D856C0">
      <w:pPr>
        <w:jc w:val="both"/>
        <w:rPr>
          <w:rFonts w:ascii="Arial" w:hAnsi="Arial" w:cs="Arial"/>
          <w:b/>
          <w:sz w:val="20"/>
        </w:rPr>
      </w:pPr>
    </w:p>
    <w:p w:rsidR="0078274C" w:rsidRDefault="0078274C" w:rsidP="00D856C0">
      <w:pPr>
        <w:jc w:val="both"/>
        <w:rPr>
          <w:rFonts w:ascii="Arial" w:hAnsi="Arial" w:cs="Arial"/>
          <w:b/>
          <w:sz w:val="20"/>
        </w:rPr>
      </w:pPr>
    </w:p>
    <w:p w:rsidR="0078274C" w:rsidRDefault="0078274C" w:rsidP="00D856C0">
      <w:pPr>
        <w:jc w:val="both"/>
        <w:rPr>
          <w:rFonts w:ascii="Arial" w:hAnsi="Arial" w:cs="Arial"/>
          <w:b/>
          <w:sz w:val="20"/>
        </w:rPr>
      </w:pPr>
    </w:p>
    <w:p w:rsidR="001C62C9" w:rsidRPr="0078274C" w:rsidRDefault="00144B1C" w:rsidP="00D856C0">
      <w:pPr>
        <w:jc w:val="both"/>
        <w:rPr>
          <w:rFonts w:ascii="Arial" w:hAnsi="Arial" w:cs="Arial"/>
          <w:sz w:val="20"/>
        </w:rPr>
      </w:pPr>
      <w:r w:rsidRPr="0078274C">
        <w:rPr>
          <w:rFonts w:ascii="Arial" w:hAnsi="Arial" w:cs="Arial"/>
          <w:b/>
          <w:sz w:val="20"/>
        </w:rPr>
        <w:t>ARTIKEL 12</w:t>
      </w:r>
      <w:r w:rsidR="001C62C9" w:rsidRPr="0078274C">
        <w:rPr>
          <w:rFonts w:ascii="Arial" w:hAnsi="Arial" w:cs="Arial"/>
          <w:sz w:val="20"/>
        </w:rPr>
        <w:t xml:space="preserve"> - Niet-nakoming van de overeenkomst 1. Als één van de partijen een verplichting uit de overeenkomst niet nakomt, mag de wederpartij de nakoming van de daartegenover staande verplichting opschorten. Bij gedeeltelijke of niet-behoorlijke nakoming is opschorting slechts toegestaan, voor zover de tekortkoming dat rechtvaardigt. 2. Als één van de partijen de overeenkomst niet nakomt, is de wederpartij bevoegd de overeenkomst te ontbinden, tenzij de tekortkoming gezien haar geringe betekenis de ontbinding niet rechtvaardigt. </w:t>
      </w:r>
    </w:p>
    <w:p w:rsidR="001C62C9" w:rsidRPr="0078274C" w:rsidRDefault="00144B1C" w:rsidP="00D856C0">
      <w:pPr>
        <w:jc w:val="both"/>
        <w:rPr>
          <w:rFonts w:ascii="Arial" w:hAnsi="Arial" w:cs="Arial"/>
          <w:sz w:val="20"/>
        </w:rPr>
      </w:pPr>
      <w:r w:rsidRPr="0078274C">
        <w:rPr>
          <w:rFonts w:ascii="Arial" w:hAnsi="Arial" w:cs="Arial"/>
          <w:b/>
          <w:sz w:val="20"/>
        </w:rPr>
        <w:t>ARTIKEL 13</w:t>
      </w:r>
      <w:r w:rsidR="001C62C9" w:rsidRPr="0078274C">
        <w:rPr>
          <w:rFonts w:ascii="Arial" w:hAnsi="Arial" w:cs="Arial"/>
          <w:sz w:val="20"/>
        </w:rPr>
        <w:t xml:space="preserve"> - Eigendom van tekeningen, ontwerpen e.d. 1. De door of vanwege de ondernemer verstrekte ontwerpen, afbeeldingen, omschrijvingen, tekeningen, modellen, begrotingen en calculaties e.d. waarvan de ondernemer zich het eigendom wenst voor te behouden, blijven zijn eigendom. 2. Alle met betrekking tot ontwerpen, afbeeldingen, omschrijvingen, tekeningen, modellen e.d. gevestigde rechten (auteursrechten, modelrechten e.d.) worden voorbehouden en dienen te worden geëerbiedigd.</w:t>
      </w:r>
    </w:p>
    <w:p w:rsidR="001C62C9" w:rsidRPr="0078274C" w:rsidRDefault="00144B1C" w:rsidP="00D856C0">
      <w:pPr>
        <w:jc w:val="both"/>
        <w:rPr>
          <w:rFonts w:ascii="Arial" w:hAnsi="Arial" w:cs="Arial"/>
          <w:sz w:val="20"/>
        </w:rPr>
      </w:pPr>
      <w:r w:rsidRPr="0078274C">
        <w:rPr>
          <w:rFonts w:ascii="Arial" w:hAnsi="Arial" w:cs="Arial"/>
          <w:b/>
          <w:sz w:val="20"/>
        </w:rPr>
        <w:t>ARTIKEL 14</w:t>
      </w:r>
      <w:r w:rsidR="001C62C9" w:rsidRPr="0078274C">
        <w:rPr>
          <w:rFonts w:ascii="Arial" w:hAnsi="Arial" w:cs="Arial"/>
          <w:sz w:val="20"/>
        </w:rPr>
        <w:t xml:space="preserve"> - Geschillenregeling 1. Geschillen tussen de consument en de ondernemer over de totstandkoming of uitvoering van overeenkomsten met betrekking tot door deze ondernemer te leveren of geleverde diensten en zaken, kunnen zowel door de consument als door de ondernemer aanhangig worden gemaakt bij de Geschillencommissie Afbouw, Postbus 90600, 2509 LP Den Haag. 2. Een geschil wordt door de Geschillencommissie slechts in behandeling genomen, indien de consument zijn klacht eerst bij de ondernemer heeft ingediend. 3. Nadat de klacht bij de ondernemer is ingediend, moet het geschil uiterlijk drie maanden na het ontstaan daarvan bij de Geschillencommissie aanhangig worden gemaakt. 4. Wanneer de consument een geschil aanhangig maakt bij de Geschillencommissie, is de ondernemer aan deze keuze gebonden. Indien de ondernemer dit wil doen, moet hij de consument vragen zich binnen vijf weken uit te spreken of hij daarmee akkoord gaat. De ondernemer dient daarbij aan te kondigen dat hij zich na het verstrijken van de voornoemde termijn vrij zal achten het geschil bij de rechter aanhangig te maken. 5. De Geschillencommissie doet uitspraak met in achtneming van de bepalingen van het voor haar geldende reglement. Het reglement van de geschillencommissie wordt desgevraagd toegezonden. De beslissingen van de geschillencommissie geschieden bij wege van bindend advies. Voor de behandeling van een geschil is een vergoeding verschuldigd. 6. Uitsluitend de rechter dan wel de hierboven genoemde Geschillencommissie is bevoegd van geschillen kennis te nemen. </w:t>
      </w:r>
    </w:p>
    <w:p w:rsidR="0078274C" w:rsidRDefault="00144B1C" w:rsidP="00D856C0">
      <w:pPr>
        <w:jc w:val="both"/>
        <w:rPr>
          <w:rFonts w:ascii="Arial" w:hAnsi="Arial" w:cs="Arial"/>
          <w:sz w:val="20"/>
        </w:rPr>
      </w:pPr>
      <w:r w:rsidRPr="0078274C">
        <w:rPr>
          <w:rFonts w:ascii="Arial" w:hAnsi="Arial" w:cs="Arial"/>
          <w:b/>
          <w:sz w:val="20"/>
        </w:rPr>
        <w:t>ARTIKEL 15</w:t>
      </w:r>
      <w:r w:rsidR="001C62C9" w:rsidRPr="0078274C">
        <w:rPr>
          <w:rFonts w:ascii="Arial" w:hAnsi="Arial" w:cs="Arial"/>
          <w:sz w:val="20"/>
        </w:rPr>
        <w:t xml:space="preserve"> - Branchegarantie nakoming bindende adviezen 1. NOA staat garant voor de nakoming van de bindende adviezen van de commissie door haar leden, tenzij het lid het bindend advies binnen twee maanden na de verzending daarvan ter vernietiging aan de rechter voorlegt. Deze garantstelling herleeft, indien het bindend advies na toetsing door de rechter in stand is gebleven en het vonnis waaruit dit blijkt, in kracht van gewijsde is gegaan. 2. Voor toepassing van deze </w:t>
      </w:r>
    </w:p>
    <w:p w:rsidR="0078274C" w:rsidRDefault="0078274C" w:rsidP="00D856C0">
      <w:pPr>
        <w:jc w:val="both"/>
        <w:rPr>
          <w:rFonts w:ascii="Arial" w:hAnsi="Arial" w:cs="Arial"/>
          <w:sz w:val="20"/>
        </w:rPr>
      </w:pPr>
    </w:p>
    <w:p w:rsidR="0078274C" w:rsidRDefault="0078274C" w:rsidP="00D856C0">
      <w:pPr>
        <w:jc w:val="both"/>
        <w:rPr>
          <w:rFonts w:ascii="Arial" w:hAnsi="Arial" w:cs="Arial"/>
          <w:sz w:val="20"/>
        </w:rPr>
      </w:pPr>
    </w:p>
    <w:p w:rsidR="0078274C" w:rsidRDefault="0078274C" w:rsidP="00D856C0">
      <w:pPr>
        <w:jc w:val="both"/>
        <w:rPr>
          <w:rFonts w:ascii="Arial" w:hAnsi="Arial" w:cs="Arial"/>
          <w:sz w:val="20"/>
        </w:rPr>
      </w:pPr>
    </w:p>
    <w:p w:rsidR="0078274C" w:rsidRDefault="0078274C" w:rsidP="00D856C0">
      <w:pPr>
        <w:jc w:val="both"/>
        <w:rPr>
          <w:rFonts w:ascii="Arial" w:hAnsi="Arial" w:cs="Arial"/>
          <w:sz w:val="20"/>
        </w:rPr>
      </w:pPr>
    </w:p>
    <w:p w:rsidR="0078274C" w:rsidRDefault="0078274C" w:rsidP="00D856C0">
      <w:pPr>
        <w:jc w:val="both"/>
        <w:rPr>
          <w:rFonts w:ascii="Arial" w:hAnsi="Arial" w:cs="Arial"/>
          <w:sz w:val="20"/>
        </w:rPr>
      </w:pPr>
    </w:p>
    <w:p w:rsidR="000D633C" w:rsidRPr="0078274C" w:rsidRDefault="001C62C9" w:rsidP="00D856C0">
      <w:pPr>
        <w:jc w:val="both"/>
        <w:rPr>
          <w:rFonts w:ascii="Arial" w:hAnsi="Arial" w:cs="Arial"/>
          <w:sz w:val="20"/>
        </w:rPr>
      </w:pPr>
      <w:r w:rsidRPr="0078274C">
        <w:rPr>
          <w:rFonts w:ascii="Arial" w:hAnsi="Arial" w:cs="Arial"/>
          <w:sz w:val="20"/>
        </w:rPr>
        <w:t xml:space="preserve">garantie is vereist dat de consument een schriftelijk of elektronisch beroep doet bij NOA, Postbus 310, 3900 AH Veenendaal, info@noa.nl. 3. NOA verschaft geen nakomingsgarantie indien, voordat het geschil ter zitting door de Geschillencommissie is behandeld en een eindbeslissing is gewezen, van één van de volgende situaties sprake is: - aan het lid is surséance van betaling verleend of - het lid is failliet verklaard of - de bedrijfsactiviteiten zijn feitelijk beëindigd. Bepalend voor deze laatste situatie is de datum waarop de bedrijfsbeëindiging in het Handelsregister is ingeschreven of een eerdere datum, waarvan NOA aannemelijk kan maken dat de bedrijfsactiviteiten feitelijk zijn beëindigd. 4. De garantstelling door NOA is beperkt tot € 5.000,- per bindend advies. NOA verstrekt deze garantstelling onder de voorwaarde dat de consument die op deze garantie een beroep doet, zijn vordering op grond van het bindend advies tot maximaal het uitgekeerde bedrag aan NOA overdraagt (cedeert) gelijktijdig met de honorering van zijn beroep op de nakomingsgarantie. Voor het meerdere heeft NOA een inspanningsverplichting om ervoor te zorgen dat het lid het bindend advies nakomt. Deze inspanningsverplichting houdt in dat de consument wordt aangeboden zijn vordering voor het meerdere eveneens aan NOA over te dragen, waarna deze organisatie op eigen naam en op kosten van NOA de betaling daarvan in rechte zal vragen ter voldoening aan de consument of de consument wordt aangeboden dat NOA op naam van de consument en op kosten van de NOA de (buiten)gerechtelijke incassoprocedure zal voeren, één en ander ter keuze van NOA. </w:t>
      </w:r>
      <w:r w:rsidR="00144B1C" w:rsidRPr="0078274C">
        <w:rPr>
          <w:rFonts w:ascii="Arial" w:hAnsi="Arial" w:cs="Arial"/>
          <w:b/>
          <w:sz w:val="20"/>
        </w:rPr>
        <w:t>ARTIKEL 16</w:t>
      </w:r>
      <w:r w:rsidRPr="0078274C">
        <w:rPr>
          <w:rFonts w:ascii="Arial" w:hAnsi="Arial" w:cs="Arial"/>
          <w:sz w:val="20"/>
        </w:rPr>
        <w:t xml:space="preserve"> - Wijziging algemene voorwaarden NOA zal deze voorwaarden slechts wijzigen in overleg met de Consumentenbond en Vereniging Eigen Huis.</w:t>
      </w:r>
    </w:p>
    <w:p w:rsidR="001C62C9" w:rsidRPr="0078274C" w:rsidRDefault="001C62C9" w:rsidP="00D856C0">
      <w:pPr>
        <w:jc w:val="both"/>
        <w:rPr>
          <w:rFonts w:ascii="Arial" w:hAnsi="Arial" w:cs="Arial"/>
          <w:sz w:val="20"/>
        </w:rPr>
      </w:pPr>
    </w:p>
    <w:p w:rsidR="001C62C9" w:rsidRPr="00D856C0" w:rsidRDefault="00144B1C" w:rsidP="00D856C0">
      <w:pPr>
        <w:jc w:val="both"/>
        <w:rPr>
          <w:sz w:val="16"/>
        </w:rPr>
      </w:pPr>
      <w:r w:rsidRPr="00D856C0">
        <w:rPr>
          <w:sz w:val="16"/>
        </w:rPr>
        <w:t xml:space="preserve"> </w:t>
      </w:r>
    </w:p>
    <w:sectPr w:rsidR="001C62C9" w:rsidRPr="00D856C0" w:rsidSect="00D856C0">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C9"/>
    <w:rsid w:val="000D633C"/>
    <w:rsid w:val="00144B1C"/>
    <w:rsid w:val="001C62C9"/>
    <w:rsid w:val="00206249"/>
    <w:rsid w:val="00374D77"/>
    <w:rsid w:val="0078274C"/>
    <w:rsid w:val="00A12920"/>
    <w:rsid w:val="00AD2D87"/>
    <w:rsid w:val="00D856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9D2DA-70EF-457F-A355-71F4DCC9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F3F3E-0DC3-4596-9EAE-EF545712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2666</Words>
  <Characters>14665</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F.W.M Wijnhoven</dc:creator>
  <cp:keywords/>
  <dc:description/>
  <cp:lastModifiedBy>F.W.M Wijnhoven</cp:lastModifiedBy>
  <cp:revision>2</cp:revision>
  <dcterms:created xsi:type="dcterms:W3CDTF">2018-09-29T09:58:00Z</dcterms:created>
  <dcterms:modified xsi:type="dcterms:W3CDTF">2018-09-29T09:58:00Z</dcterms:modified>
</cp:coreProperties>
</file>